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F154" w14:textId="435D8C33" w:rsidR="00000000" w:rsidRPr="001C3FBF" w:rsidRDefault="00000000" w:rsidP="001C3FBF">
      <w:pPr>
        <w:pStyle w:val="Title"/>
      </w:pPr>
      <w:r w:rsidRPr="001C3FBF">
        <w:t>Accessible Procurement</w:t>
      </w:r>
      <w:r w:rsidR="001C3FBF">
        <w:t xml:space="preserve">: </w:t>
      </w:r>
      <w:r w:rsidRPr="001C3FBF">
        <w:t xml:space="preserve">Building capacity for acquiring e-resources for </w:t>
      </w:r>
      <w:proofErr w:type="gramStart"/>
      <w:r w:rsidRPr="001C3FBF">
        <w:t>all</w:t>
      </w:r>
      <w:proofErr w:type="gramEnd"/>
    </w:p>
    <w:p w14:paraId="72051302" w14:textId="77777777" w:rsidR="00000000" w:rsidRPr="001C3FBF" w:rsidRDefault="00000000" w:rsidP="001C3FBF">
      <w:r w:rsidRPr="001C3FBF">
        <w:t>October 19, 2023</w:t>
      </w:r>
    </w:p>
    <w:p w14:paraId="47B7185B" w14:textId="77777777" w:rsidR="00000000" w:rsidRPr="001C3FBF" w:rsidRDefault="00000000" w:rsidP="001C3FBF">
      <w:pPr>
        <w:pStyle w:val="Heading1"/>
      </w:pPr>
      <w:r w:rsidRPr="001C3FBF">
        <w:t>Library e-resources need to be accessible!</w:t>
      </w:r>
    </w:p>
    <w:p w14:paraId="562E32CC" w14:textId="77777777" w:rsidR="00000000" w:rsidRPr="001C3FBF" w:rsidRDefault="00000000" w:rsidP="001C3FBF">
      <w:pPr>
        <w:pStyle w:val="Heading1"/>
      </w:pPr>
      <w:r w:rsidRPr="001C3FBF">
        <w:t xml:space="preserve">Agenda </w:t>
      </w:r>
    </w:p>
    <w:p w14:paraId="455FB0D9" w14:textId="77777777" w:rsidR="00000000" w:rsidRPr="001C3FBF" w:rsidRDefault="00000000" w:rsidP="001C3FBF">
      <w:pPr>
        <w:numPr>
          <w:ilvl w:val="0"/>
          <w:numId w:val="5"/>
        </w:numPr>
      </w:pPr>
      <w:r w:rsidRPr="001C3FBF">
        <w:t>Context for PLSB</w:t>
      </w:r>
    </w:p>
    <w:p w14:paraId="03104E86" w14:textId="77777777" w:rsidR="00000000" w:rsidRPr="001C3FBF" w:rsidRDefault="00000000" w:rsidP="001C3FBF">
      <w:pPr>
        <w:numPr>
          <w:ilvl w:val="0"/>
          <w:numId w:val="5"/>
        </w:numPr>
      </w:pPr>
      <w:r w:rsidRPr="001C3FBF">
        <w:t>How to incorporate accessibility principles into procurement</w:t>
      </w:r>
    </w:p>
    <w:p w14:paraId="23A12E6B" w14:textId="77777777" w:rsidR="00000000" w:rsidRPr="001C3FBF" w:rsidRDefault="00000000" w:rsidP="001C3FBF">
      <w:pPr>
        <w:numPr>
          <w:ilvl w:val="0"/>
          <w:numId w:val="5"/>
        </w:numPr>
      </w:pPr>
      <w:r w:rsidRPr="001C3FBF">
        <w:t>Accessibility requirements: Deep dive</w:t>
      </w:r>
    </w:p>
    <w:p w14:paraId="797E7A23" w14:textId="77777777" w:rsidR="00000000" w:rsidRPr="001C3FBF" w:rsidRDefault="00000000" w:rsidP="001C3FBF">
      <w:pPr>
        <w:numPr>
          <w:ilvl w:val="0"/>
          <w:numId w:val="5"/>
        </w:numPr>
      </w:pPr>
      <w:r w:rsidRPr="001C3FBF">
        <w:t xml:space="preserve">Lessons </w:t>
      </w:r>
      <w:proofErr w:type="gramStart"/>
      <w:r w:rsidRPr="001C3FBF">
        <w:t>learned</w:t>
      </w:r>
      <w:proofErr w:type="gramEnd"/>
    </w:p>
    <w:p w14:paraId="04209B90" w14:textId="77777777" w:rsidR="00000000" w:rsidRPr="001C3FBF" w:rsidRDefault="00000000" w:rsidP="001C3FBF">
      <w:pPr>
        <w:numPr>
          <w:ilvl w:val="0"/>
          <w:numId w:val="5"/>
        </w:numPr>
      </w:pPr>
      <w:r w:rsidRPr="001C3FBF">
        <w:t>What if my library does not do procurement?</w:t>
      </w:r>
    </w:p>
    <w:p w14:paraId="7FCA70BA" w14:textId="17006485" w:rsidR="00000000" w:rsidRPr="001C3FBF" w:rsidRDefault="00000000" w:rsidP="001C3FBF">
      <w:pPr>
        <w:pStyle w:val="Heading1"/>
      </w:pPr>
      <w:r w:rsidRPr="001C3FBF">
        <w:t>Introduction</w:t>
      </w:r>
      <w:r w:rsidR="001C3FBF">
        <w:t xml:space="preserve">: </w:t>
      </w:r>
      <w:r w:rsidRPr="001C3FBF">
        <w:t>The experience in Alberta</w:t>
      </w:r>
    </w:p>
    <w:p w14:paraId="14538EE0" w14:textId="77777777" w:rsidR="00000000" w:rsidRPr="001C3FBF" w:rsidRDefault="00000000" w:rsidP="001C3FBF">
      <w:pPr>
        <w:pStyle w:val="Heading2"/>
      </w:pPr>
      <w:r w:rsidRPr="001C3FBF">
        <w:t>Public Library Services Branch</w:t>
      </w:r>
    </w:p>
    <w:p w14:paraId="649CF23A" w14:textId="77777777" w:rsidR="00000000" w:rsidRPr="001C3FBF" w:rsidRDefault="00000000" w:rsidP="001C3FBF">
      <w:pPr>
        <w:numPr>
          <w:ilvl w:val="0"/>
          <w:numId w:val="6"/>
        </w:numPr>
      </w:pPr>
      <w:r w:rsidRPr="001C3FBF">
        <w:t>Accessibility as policy priority</w:t>
      </w:r>
    </w:p>
    <w:p w14:paraId="74058684" w14:textId="77777777" w:rsidR="00000000" w:rsidRPr="001C3FBF" w:rsidRDefault="00000000" w:rsidP="001C3FBF">
      <w:pPr>
        <w:numPr>
          <w:ilvl w:val="1"/>
          <w:numId w:val="6"/>
        </w:numPr>
      </w:pPr>
      <w:r w:rsidRPr="001C3FBF">
        <w:t>Library Resource for People with Print Disabilities operational policy</w:t>
      </w:r>
    </w:p>
    <w:p w14:paraId="130661EE" w14:textId="77777777" w:rsidR="00000000" w:rsidRPr="001C3FBF" w:rsidRDefault="00000000" w:rsidP="001C3FBF">
      <w:pPr>
        <w:numPr>
          <w:ilvl w:val="1"/>
          <w:numId w:val="6"/>
        </w:numPr>
      </w:pPr>
      <w:r w:rsidRPr="001C3FBF">
        <w:t>Best Practices for Public Libraries in Alberta</w:t>
      </w:r>
    </w:p>
    <w:p w14:paraId="76E79131" w14:textId="77777777" w:rsidR="00000000" w:rsidRPr="001C3FBF" w:rsidRDefault="00000000" w:rsidP="001C3FBF">
      <w:pPr>
        <w:numPr>
          <w:ilvl w:val="1"/>
          <w:numId w:val="6"/>
        </w:numPr>
      </w:pPr>
      <w:r w:rsidRPr="001C3FBF">
        <w:t xml:space="preserve">Staffing dedicated to </w:t>
      </w:r>
      <w:proofErr w:type="gramStart"/>
      <w:r w:rsidRPr="001C3FBF">
        <w:t>accessibility</w:t>
      </w:r>
      <w:proofErr w:type="gramEnd"/>
    </w:p>
    <w:p w14:paraId="2CBA0BAC" w14:textId="77777777" w:rsidR="00000000" w:rsidRPr="001C3FBF" w:rsidRDefault="00000000" w:rsidP="001C3FBF">
      <w:pPr>
        <w:numPr>
          <w:ilvl w:val="0"/>
          <w:numId w:val="6"/>
        </w:numPr>
      </w:pPr>
      <w:r w:rsidRPr="001C3FBF">
        <w:t>Support for accessible platforms</w:t>
      </w:r>
    </w:p>
    <w:p w14:paraId="785E9D86" w14:textId="77777777" w:rsidR="00000000" w:rsidRPr="001C3FBF" w:rsidRDefault="00000000" w:rsidP="001C3FBF">
      <w:pPr>
        <w:numPr>
          <w:ilvl w:val="1"/>
          <w:numId w:val="6"/>
        </w:numPr>
      </w:pPr>
      <w:r w:rsidRPr="001C3FBF">
        <w:t>NNELS</w:t>
      </w:r>
    </w:p>
    <w:p w14:paraId="60CE07ED" w14:textId="77777777" w:rsidR="00000000" w:rsidRPr="001C3FBF" w:rsidRDefault="00000000" w:rsidP="001C3FBF">
      <w:pPr>
        <w:numPr>
          <w:ilvl w:val="1"/>
          <w:numId w:val="6"/>
        </w:numPr>
      </w:pPr>
      <w:r w:rsidRPr="001C3FBF">
        <w:t>CELA</w:t>
      </w:r>
    </w:p>
    <w:p w14:paraId="5B12FEAA" w14:textId="77777777" w:rsidR="00000000" w:rsidRPr="001C3FBF" w:rsidRDefault="00000000" w:rsidP="001C3FBF">
      <w:pPr>
        <w:pStyle w:val="Heading2"/>
      </w:pPr>
      <w:proofErr w:type="spellStart"/>
      <w:r w:rsidRPr="001C3FBF">
        <w:t>GoA</w:t>
      </w:r>
      <w:proofErr w:type="spellEnd"/>
      <w:r w:rsidRPr="001C3FBF">
        <w:t xml:space="preserve"> procurement</w:t>
      </w:r>
    </w:p>
    <w:p w14:paraId="02C0AB5C" w14:textId="77777777" w:rsidR="00000000" w:rsidRPr="001C3FBF" w:rsidRDefault="00000000" w:rsidP="001C3FBF">
      <w:pPr>
        <w:numPr>
          <w:ilvl w:val="0"/>
          <w:numId w:val="7"/>
        </w:numPr>
      </w:pPr>
      <w:r w:rsidRPr="001C3FBF">
        <w:t>Subject to various government policies, legislation, and intergovernmental trade agreements</w:t>
      </w:r>
    </w:p>
    <w:p w14:paraId="347A959B" w14:textId="77777777" w:rsidR="00000000" w:rsidRPr="001C3FBF" w:rsidRDefault="00000000" w:rsidP="001C3FBF">
      <w:pPr>
        <w:numPr>
          <w:ilvl w:val="1"/>
          <w:numId w:val="7"/>
        </w:numPr>
      </w:pPr>
      <w:r w:rsidRPr="001C3FBF">
        <w:t>NWPTA, CFTA, CETA, WTO GPA, FOIP, Financial Administration Act, Procurement and Sole-sourcing Directive, Canadian competitive bid law</w:t>
      </w:r>
    </w:p>
    <w:p w14:paraId="5DCA2317" w14:textId="77777777" w:rsidR="00000000" w:rsidRPr="001C3FBF" w:rsidRDefault="00000000" w:rsidP="001C3FBF">
      <w:pPr>
        <w:numPr>
          <w:ilvl w:val="0"/>
          <w:numId w:val="7"/>
        </w:numPr>
      </w:pPr>
      <w:r w:rsidRPr="001C3FBF">
        <w:t>Procurement principles</w:t>
      </w:r>
    </w:p>
    <w:p w14:paraId="2EB11AA6" w14:textId="77777777" w:rsidR="00000000" w:rsidRPr="001C3FBF" w:rsidRDefault="00000000" w:rsidP="001C3FBF">
      <w:pPr>
        <w:numPr>
          <w:ilvl w:val="1"/>
          <w:numId w:val="7"/>
        </w:numPr>
      </w:pPr>
      <w:r w:rsidRPr="001C3FBF">
        <w:t>Integrity</w:t>
      </w:r>
    </w:p>
    <w:p w14:paraId="5B581E5B" w14:textId="77777777" w:rsidR="00000000" w:rsidRPr="001C3FBF" w:rsidRDefault="00000000" w:rsidP="001C3FBF">
      <w:pPr>
        <w:numPr>
          <w:ilvl w:val="1"/>
          <w:numId w:val="7"/>
        </w:numPr>
      </w:pPr>
      <w:r w:rsidRPr="001C3FBF">
        <w:t>Fairness</w:t>
      </w:r>
    </w:p>
    <w:p w14:paraId="5E9170E8" w14:textId="77777777" w:rsidR="00000000" w:rsidRPr="001C3FBF" w:rsidRDefault="00000000" w:rsidP="001C3FBF">
      <w:pPr>
        <w:numPr>
          <w:ilvl w:val="1"/>
          <w:numId w:val="7"/>
        </w:numPr>
      </w:pPr>
      <w:r w:rsidRPr="001C3FBF">
        <w:t>Transparency and openness</w:t>
      </w:r>
    </w:p>
    <w:p w14:paraId="0CA56B0C" w14:textId="77777777" w:rsidR="00000000" w:rsidRPr="001C3FBF" w:rsidRDefault="00000000" w:rsidP="001C3FBF">
      <w:pPr>
        <w:pStyle w:val="Heading2"/>
      </w:pPr>
      <w:r w:rsidRPr="001C3FBF">
        <w:t>Request for Proposal (RFP)</w:t>
      </w:r>
    </w:p>
    <w:p w14:paraId="41085B04" w14:textId="77777777" w:rsidR="00000000" w:rsidRPr="001C3FBF" w:rsidRDefault="00000000" w:rsidP="001C3FBF">
      <w:pPr>
        <w:numPr>
          <w:ilvl w:val="0"/>
          <w:numId w:val="8"/>
        </w:numPr>
      </w:pPr>
      <w:r w:rsidRPr="001C3FBF">
        <w:t>Open tender</w:t>
      </w:r>
    </w:p>
    <w:p w14:paraId="78987002" w14:textId="77777777" w:rsidR="00000000" w:rsidRPr="001C3FBF" w:rsidRDefault="00000000" w:rsidP="001C3FBF">
      <w:pPr>
        <w:numPr>
          <w:ilvl w:val="0"/>
          <w:numId w:val="8"/>
        </w:numPr>
      </w:pPr>
      <w:r w:rsidRPr="001C3FBF">
        <w:t>Mandatory vs. Desirable requirements</w:t>
      </w:r>
    </w:p>
    <w:p w14:paraId="0B0DE87A" w14:textId="77777777" w:rsidR="00000000" w:rsidRPr="001C3FBF" w:rsidRDefault="00000000" w:rsidP="001C3FBF">
      <w:pPr>
        <w:numPr>
          <w:ilvl w:val="0"/>
          <w:numId w:val="8"/>
        </w:numPr>
      </w:pPr>
      <w:r w:rsidRPr="001C3FBF">
        <w:t>Canadian competitive bid law</w:t>
      </w:r>
    </w:p>
    <w:p w14:paraId="2F9C4B71" w14:textId="77777777" w:rsidR="00000000" w:rsidRPr="001C3FBF" w:rsidRDefault="00000000" w:rsidP="001C3FBF">
      <w:pPr>
        <w:numPr>
          <w:ilvl w:val="1"/>
          <w:numId w:val="8"/>
        </w:numPr>
      </w:pPr>
      <w:r w:rsidRPr="001C3FBF">
        <w:t xml:space="preserve">Duty to </w:t>
      </w:r>
      <w:proofErr w:type="gramStart"/>
      <w:r w:rsidRPr="001C3FBF">
        <w:t>disclose</w:t>
      </w:r>
      <w:proofErr w:type="gramEnd"/>
    </w:p>
    <w:p w14:paraId="1A06ED98" w14:textId="77777777" w:rsidR="00000000" w:rsidRPr="001C3FBF" w:rsidRDefault="00000000" w:rsidP="001C3FBF">
      <w:pPr>
        <w:numPr>
          <w:ilvl w:val="1"/>
          <w:numId w:val="8"/>
        </w:numPr>
      </w:pPr>
      <w:r w:rsidRPr="001C3FBF">
        <w:lastRenderedPageBreak/>
        <w:t xml:space="preserve">Duty to conduct a fair procurement </w:t>
      </w:r>
      <w:proofErr w:type="gramStart"/>
      <w:r w:rsidRPr="001C3FBF">
        <w:t>process</w:t>
      </w:r>
      <w:proofErr w:type="gramEnd"/>
    </w:p>
    <w:p w14:paraId="16D594E5" w14:textId="77777777" w:rsidR="00000000" w:rsidRPr="001C3FBF" w:rsidRDefault="00000000" w:rsidP="001C3FBF">
      <w:pPr>
        <w:numPr>
          <w:ilvl w:val="1"/>
          <w:numId w:val="8"/>
        </w:numPr>
      </w:pPr>
      <w:r w:rsidRPr="001C3FBF">
        <w:t xml:space="preserve">Duty to reject non-compliant </w:t>
      </w:r>
      <w:proofErr w:type="gramStart"/>
      <w:r w:rsidRPr="001C3FBF">
        <w:t>responses</w:t>
      </w:r>
      <w:proofErr w:type="gramEnd"/>
    </w:p>
    <w:p w14:paraId="1ABDE345" w14:textId="77777777" w:rsidR="00000000" w:rsidRPr="001C3FBF" w:rsidRDefault="00000000" w:rsidP="001C3FBF">
      <w:pPr>
        <w:numPr>
          <w:ilvl w:val="1"/>
          <w:numId w:val="8"/>
        </w:numPr>
      </w:pPr>
      <w:r w:rsidRPr="001C3FBF">
        <w:t xml:space="preserve">Duty to award to winning </w:t>
      </w:r>
      <w:proofErr w:type="gramStart"/>
      <w:r w:rsidRPr="001C3FBF">
        <w:t>vendor</w:t>
      </w:r>
      <w:proofErr w:type="gramEnd"/>
    </w:p>
    <w:p w14:paraId="01C48BE3" w14:textId="77777777" w:rsidR="00000000" w:rsidRPr="001C3FBF" w:rsidRDefault="00000000" w:rsidP="001C3FBF">
      <w:pPr>
        <w:numPr>
          <w:ilvl w:val="1"/>
          <w:numId w:val="8"/>
        </w:numPr>
      </w:pPr>
      <w:r w:rsidRPr="001C3FBF">
        <w:t>Duty to award contract as tendered</w:t>
      </w:r>
    </w:p>
    <w:p w14:paraId="6C373152" w14:textId="77777777" w:rsidR="00000000" w:rsidRPr="001C3FBF" w:rsidRDefault="00000000" w:rsidP="001C3FBF">
      <w:pPr>
        <w:pStyle w:val="Heading1"/>
      </w:pPr>
      <w:r w:rsidRPr="001C3FBF">
        <w:t>How to incorporate accessibility principles into procurement</w:t>
      </w:r>
    </w:p>
    <w:p w14:paraId="1C6BF6ED" w14:textId="77777777" w:rsidR="00000000" w:rsidRPr="001C3FBF" w:rsidRDefault="00000000" w:rsidP="001C3FBF">
      <w:pPr>
        <w:pStyle w:val="Heading2"/>
      </w:pPr>
      <w:r w:rsidRPr="001C3FBF">
        <w:t>Accessibility statement</w:t>
      </w:r>
      <w:r w:rsidRPr="001C3FBF">
        <w:tab/>
      </w:r>
    </w:p>
    <w:p w14:paraId="74ECAE4C" w14:textId="77777777" w:rsidR="00000000" w:rsidRPr="001C3FBF" w:rsidRDefault="00000000" w:rsidP="001C3FBF">
      <w:pPr>
        <w:numPr>
          <w:ilvl w:val="0"/>
          <w:numId w:val="9"/>
        </w:numPr>
      </w:pPr>
      <w:r w:rsidRPr="001C3FBF">
        <w:t>Include a statement in your RFP that describes your organization’s commitment to accessibility.</w:t>
      </w:r>
    </w:p>
    <w:p w14:paraId="36E78F66" w14:textId="77777777" w:rsidR="00000000" w:rsidRPr="001C3FBF" w:rsidRDefault="00000000" w:rsidP="001C3FBF">
      <w:pPr>
        <w:numPr>
          <w:ilvl w:val="1"/>
          <w:numId w:val="9"/>
        </w:numPr>
      </w:pPr>
      <w:r w:rsidRPr="001C3FBF">
        <w:t>Example: “Accessibility is a priority for PLSB. As such, PLSB strives to acquire a Solution that has sufficient accessibility features to enable Patrons with Disabilities to access the available content. Please see X and Appendix X for further information.”</w:t>
      </w:r>
    </w:p>
    <w:p w14:paraId="6C750435" w14:textId="77777777" w:rsidR="00000000" w:rsidRPr="001C3FBF" w:rsidRDefault="00000000" w:rsidP="001C3FBF">
      <w:pPr>
        <w:numPr>
          <w:ilvl w:val="0"/>
          <w:numId w:val="9"/>
        </w:numPr>
      </w:pPr>
      <w:r w:rsidRPr="001C3FBF">
        <w:t>Ask for the vendor to include their organization’s accessibility statement.</w:t>
      </w:r>
    </w:p>
    <w:p w14:paraId="602F6262" w14:textId="77777777" w:rsidR="00000000" w:rsidRPr="001C3FBF" w:rsidRDefault="00000000" w:rsidP="001C3FBF">
      <w:pPr>
        <w:pStyle w:val="Heading2"/>
      </w:pPr>
      <w:r w:rsidRPr="001C3FBF">
        <w:t>Accessibility requirements</w:t>
      </w:r>
    </w:p>
    <w:p w14:paraId="14DE307B" w14:textId="77777777" w:rsidR="00000000" w:rsidRPr="001C3FBF" w:rsidRDefault="00000000" w:rsidP="001C3FBF">
      <w:pPr>
        <w:numPr>
          <w:ilvl w:val="0"/>
          <w:numId w:val="10"/>
        </w:numPr>
      </w:pPr>
      <w:r w:rsidRPr="001C3FBF">
        <w:t xml:space="preserve">Describe specific and measurable accessibility </w:t>
      </w:r>
      <w:proofErr w:type="gramStart"/>
      <w:r w:rsidRPr="001C3FBF">
        <w:t>requirements</w:t>
      </w:r>
      <w:proofErr w:type="gramEnd"/>
    </w:p>
    <w:p w14:paraId="2AF6A139" w14:textId="77777777" w:rsidR="00000000" w:rsidRPr="001C3FBF" w:rsidRDefault="00000000" w:rsidP="001C3FBF">
      <w:pPr>
        <w:numPr>
          <w:ilvl w:val="0"/>
          <w:numId w:val="10"/>
        </w:numPr>
      </w:pPr>
      <w:r w:rsidRPr="001C3FBF">
        <w:t xml:space="preserve">Electronic resources: can be based on </w:t>
      </w:r>
      <w:proofErr w:type="gramStart"/>
      <w:r w:rsidRPr="001C3FBF">
        <w:t>WCAG</w:t>
      </w:r>
      <w:proofErr w:type="gramEnd"/>
      <w:r w:rsidRPr="001C3FBF">
        <w:t xml:space="preserve"> </w:t>
      </w:r>
    </w:p>
    <w:p w14:paraId="5293C692" w14:textId="77777777" w:rsidR="00000000" w:rsidRPr="001C3FBF" w:rsidRDefault="00000000" w:rsidP="001C3FBF">
      <w:pPr>
        <w:numPr>
          <w:ilvl w:val="0"/>
          <w:numId w:val="10"/>
        </w:numPr>
      </w:pPr>
      <w:r w:rsidRPr="001C3FBF">
        <w:t xml:space="preserve">Have vendors assess the accessibility of these </w:t>
      </w:r>
      <w:proofErr w:type="gramStart"/>
      <w:r w:rsidRPr="001C3FBF">
        <w:t>requirements</w:t>
      </w:r>
      <w:proofErr w:type="gramEnd"/>
    </w:p>
    <w:p w14:paraId="0A35B818" w14:textId="77777777" w:rsidR="00000000" w:rsidRPr="001C3FBF" w:rsidRDefault="00000000" w:rsidP="001C3FBF">
      <w:pPr>
        <w:pStyle w:val="Heading2"/>
      </w:pPr>
      <w:r w:rsidRPr="001C3FBF">
        <w:t>Accessibility testing</w:t>
      </w:r>
    </w:p>
    <w:p w14:paraId="49E41728" w14:textId="77777777" w:rsidR="00000000" w:rsidRPr="001C3FBF" w:rsidRDefault="00000000" w:rsidP="001C3FBF">
      <w:pPr>
        <w:numPr>
          <w:ilvl w:val="0"/>
          <w:numId w:val="11"/>
        </w:numPr>
      </w:pPr>
      <w:r w:rsidRPr="001C3FBF">
        <w:t xml:space="preserve">Need to verify the vendor’s response with accessibility </w:t>
      </w:r>
      <w:proofErr w:type="gramStart"/>
      <w:r w:rsidRPr="001C3FBF">
        <w:t>testing</w:t>
      </w:r>
      <w:proofErr w:type="gramEnd"/>
    </w:p>
    <w:p w14:paraId="4E593A57" w14:textId="77777777" w:rsidR="00000000" w:rsidRPr="001C3FBF" w:rsidRDefault="00000000" w:rsidP="001C3FBF">
      <w:pPr>
        <w:numPr>
          <w:ilvl w:val="0"/>
          <w:numId w:val="11"/>
        </w:numPr>
      </w:pPr>
      <w:r w:rsidRPr="001C3FBF">
        <w:t xml:space="preserve">Engage people with lived experience and who are well-versed with specific assistive technology to perform accessibility </w:t>
      </w:r>
      <w:proofErr w:type="gramStart"/>
      <w:r w:rsidRPr="001C3FBF">
        <w:t>testing</w:t>
      </w:r>
      <w:proofErr w:type="gramEnd"/>
    </w:p>
    <w:p w14:paraId="501FE928" w14:textId="77777777" w:rsidR="00000000" w:rsidRPr="001C3FBF" w:rsidRDefault="00000000" w:rsidP="001C3FBF">
      <w:pPr>
        <w:numPr>
          <w:ilvl w:val="0"/>
          <w:numId w:val="11"/>
        </w:numPr>
      </w:pPr>
      <w:r w:rsidRPr="001C3FBF">
        <w:t xml:space="preserve">Make sure you ask for access to the resource for testing purposes. Specify how long you will need access for </w:t>
      </w:r>
      <w:proofErr w:type="gramStart"/>
      <w:r w:rsidRPr="001C3FBF">
        <w:t>testing</w:t>
      </w:r>
      <w:proofErr w:type="gramEnd"/>
    </w:p>
    <w:p w14:paraId="73407D4B" w14:textId="77777777" w:rsidR="00000000" w:rsidRPr="001C3FBF" w:rsidRDefault="00000000" w:rsidP="001C3FBF">
      <w:pPr>
        <w:pStyle w:val="Heading2"/>
      </w:pPr>
      <w:r w:rsidRPr="001C3FBF">
        <w:t xml:space="preserve">Request an automated accessibility </w:t>
      </w:r>
      <w:proofErr w:type="gramStart"/>
      <w:r w:rsidRPr="001C3FBF">
        <w:t>test</w:t>
      </w:r>
      <w:proofErr w:type="gramEnd"/>
      <w:r w:rsidRPr="001C3FBF">
        <w:tab/>
      </w:r>
    </w:p>
    <w:p w14:paraId="0C139751" w14:textId="77777777" w:rsidR="00000000" w:rsidRPr="001C3FBF" w:rsidRDefault="00000000" w:rsidP="001C3FBF">
      <w:pPr>
        <w:numPr>
          <w:ilvl w:val="0"/>
          <w:numId w:val="12"/>
        </w:numPr>
      </w:pPr>
      <w:r w:rsidRPr="001C3FBF">
        <w:t xml:space="preserve">Ask vendor to </w:t>
      </w:r>
      <w:proofErr w:type="spellStart"/>
      <w:r w:rsidRPr="001C3FBF">
        <w:t>prescreen</w:t>
      </w:r>
      <w:proofErr w:type="spellEnd"/>
      <w:r w:rsidRPr="001C3FBF">
        <w:t xml:space="preserve"> their </w:t>
      </w:r>
      <w:proofErr w:type="gramStart"/>
      <w:r w:rsidRPr="001C3FBF">
        <w:t>product</w:t>
      </w:r>
      <w:proofErr w:type="gramEnd"/>
    </w:p>
    <w:p w14:paraId="66A0B5A5" w14:textId="77777777" w:rsidR="00000000" w:rsidRPr="001C3FBF" w:rsidRDefault="00000000" w:rsidP="001C3FBF">
      <w:pPr>
        <w:numPr>
          <w:ilvl w:val="0"/>
          <w:numId w:val="12"/>
        </w:numPr>
      </w:pPr>
      <w:r w:rsidRPr="001C3FBF">
        <w:t xml:space="preserve">Have vendor run an automated accessibility checker on their product and provide the </w:t>
      </w:r>
      <w:proofErr w:type="gramStart"/>
      <w:r w:rsidRPr="001C3FBF">
        <w:t>results</w:t>
      </w:r>
      <w:proofErr w:type="gramEnd"/>
    </w:p>
    <w:p w14:paraId="3E657620" w14:textId="77777777" w:rsidR="00000000" w:rsidRPr="001C3FBF" w:rsidRDefault="00000000" w:rsidP="001C3FBF">
      <w:pPr>
        <w:numPr>
          <w:ilvl w:val="1"/>
          <w:numId w:val="12"/>
        </w:numPr>
      </w:pPr>
      <w:r w:rsidRPr="001C3FBF">
        <w:t xml:space="preserve">Automated testing will not catch everything, but it will catch some </w:t>
      </w:r>
      <w:proofErr w:type="gramStart"/>
      <w:r w:rsidRPr="001C3FBF">
        <w:t>things</w:t>
      </w:r>
      <w:proofErr w:type="gramEnd"/>
    </w:p>
    <w:p w14:paraId="557174C7" w14:textId="77777777" w:rsidR="00000000" w:rsidRPr="001C3FBF" w:rsidRDefault="00000000" w:rsidP="001C3FBF">
      <w:pPr>
        <w:numPr>
          <w:ilvl w:val="1"/>
          <w:numId w:val="12"/>
        </w:numPr>
      </w:pPr>
      <w:r w:rsidRPr="001C3FBF">
        <w:t xml:space="preserve">Gives the vendor an opportunity to address some accessibility concerns before </w:t>
      </w:r>
      <w:proofErr w:type="gramStart"/>
      <w:r w:rsidRPr="001C3FBF">
        <w:t>responding</w:t>
      </w:r>
      <w:proofErr w:type="gramEnd"/>
    </w:p>
    <w:p w14:paraId="7C99D73F" w14:textId="77777777" w:rsidR="00000000" w:rsidRPr="001C3FBF" w:rsidRDefault="00000000" w:rsidP="001C3FBF">
      <w:pPr>
        <w:numPr>
          <w:ilvl w:val="0"/>
          <w:numId w:val="12"/>
        </w:numPr>
      </w:pPr>
      <w:r w:rsidRPr="001C3FBF">
        <w:t xml:space="preserve">Full transparency: we have not included this step </w:t>
      </w:r>
      <w:proofErr w:type="gramStart"/>
      <w:r w:rsidRPr="001C3FBF">
        <w:t>yet</w:t>
      </w:r>
      <w:proofErr w:type="gramEnd"/>
    </w:p>
    <w:p w14:paraId="34E38DBD" w14:textId="77777777" w:rsidR="00000000" w:rsidRPr="001C3FBF" w:rsidRDefault="00000000" w:rsidP="001C3FBF">
      <w:pPr>
        <w:pStyle w:val="Heading2"/>
      </w:pPr>
      <w:r w:rsidRPr="001C3FBF">
        <w:t xml:space="preserve">Debrief and feedback </w:t>
      </w:r>
      <w:proofErr w:type="gramStart"/>
      <w:r w:rsidRPr="001C3FBF">
        <w:t>session</w:t>
      </w:r>
      <w:proofErr w:type="gramEnd"/>
    </w:p>
    <w:p w14:paraId="18C15D43" w14:textId="77777777" w:rsidR="00000000" w:rsidRPr="001C3FBF" w:rsidRDefault="00000000" w:rsidP="001C3FBF">
      <w:pPr>
        <w:numPr>
          <w:ilvl w:val="0"/>
          <w:numId w:val="13"/>
        </w:numPr>
      </w:pPr>
      <w:r w:rsidRPr="001C3FBF">
        <w:t>Record the testing results (both the score and the justification for the score)</w:t>
      </w:r>
    </w:p>
    <w:p w14:paraId="4D237F66" w14:textId="77777777" w:rsidR="00000000" w:rsidRPr="001C3FBF" w:rsidRDefault="00000000" w:rsidP="001C3FBF">
      <w:pPr>
        <w:numPr>
          <w:ilvl w:val="0"/>
          <w:numId w:val="13"/>
        </w:numPr>
      </w:pPr>
      <w:r w:rsidRPr="001C3FBF">
        <w:lastRenderedPageBreak/>
        <w:t xml:space="preserve">If vendor is interested, a feedback session is an excellent opportunity to describe the results of the </w:t>
      </w:r>
      <w:proofErr w:type="gramStart"/>
      <w:r w:rsidRPr="001C3FBF">
        <w:t>testing</w:t>
      </w:r>
      <w:proofErr w:type="gramEnd"/>
      <w:r w:rsidRPr="001C3FBF">
        <w:t xml:space="preserve"> </w:t>
      </w:r>
    </w:p>
    <w:p w14:paraId="65DB3E66" w14:textId="77777777" w:rsidR="00000000" w:rsidRPr="001C3FBF" w:rsidRDefault="00000000" w:rsidP="001C3FBF">
      <w:pPr>
        <w:numPr>
          <w:ilvl w:val="0"/>
          <w:numId w:val="13"/>
        </w:numPr>
      </w:pPr>
      <w:r w:rsidRPr="001C3FBF">
        <w:t xml:space="preserve">If possible, include the testers in the feedback </w:t>
      </w:r>
      <w:proofErr w:type="gramStart"/>
      <w:r w:rsidRPr="001C3FBF">
        <w:t>session</w:t>
      </w:r>
      <w:proofErr w:type="gramEnd"/>
      <w:r w:rsidRPr="001C3FBF">
        <w:t xml:space="preserve"> </w:t>
      </w:r>
    </w:p>
    <w:p w14:paraId="26F5C0CC" w14:textId="77777777" w:rsidR="00000000" w:rsidRPr="001C3FBF" w:rsidRDefault="00000000" w:rsidP="001C3FBF">
      <w:pPr>
        <w:pStyle w:val="Heading2"/>
      </w:pPr>
      <w:r w:rsidRPr="001C3FBF">
        <w:t xml:space="preserve">Build accessibility into the </w:t>
      </w:r>
      <w:proofErr w:type="gramStart"/>
      <w:r w:rsidRPr="001C3FBF">
        <w:t>contract</w:t>
      </w:r>
      <w:proofErr w:type="gramEnd"/>
    </w:p>
    <w:p w14:paraId="3CF2219C" w14:textId="77777777" w:rsidR="00000000" w:rsidRPr="001C3FBF" w:rsidRDefault="00000000" w:rsidP="001C3FBF">
      <w:pPr>
        <w:numPr>
          <w:ilvl w:val="0"/>
          <w:numId w:val="14"/>
        </w:numPr>
      </w:pPr>
      <w:r w:rsidRPr="001C3FBF">
        <w:t xml:space="preserve">Use the vendor’s responses to the accessibility requirements as part of the </w:t>
      </w:r>
      <w:proofErr w:type="gramStart"/>
      <w:r w:rsidRPr="001C3FBF">
        <w:t>contract</w:t>
      </w:r>
      <w:proofErr w:type="gramEnd"/>
    </w:p>
    <w:p w14:paraId="30002CCC" w14:textId="77777777" w:rsidR="00000000" w:rsidRPr="001C3FBF" w:rsidRDefault="00000000" w:rsidP="001C3FBF">
      <w:pPr>
        <w:numPr>
          <w:ilvl w:val="0"/>
          <w:numId w:val="14"/>
        </w:numPr>
      </w:pPr>
      <w:r w:rsidRPr="001C3FBF">
        <w:t xml:space="preserve">Examples: </w:t>
      </w:r>
    </w:p>
    <w:p w14:paraId="11C360C2" w14:textId="77777777" w:rsidR="00000000" w:rsidRPr="001C3FBF" w:rsidRDefault="00000000" w:rsidP="001C3FBF">
      <w:pPr>
        <w:numPr>
          <w:ilvl w:val="1"/>
          <w:numId w:val="14"/>
        </w:numPr>
      </w:pPr>
      <w:r w:rsidRPr="001C3FBF">
        <w:t xml:space="preserve">If the vendor says that building an accessible feature is on their roadmap, build that into the </w:t>
      </w:r>
      <w:proofErr w:type="gramStart"/>
      <w:r w:rsidRPr="001C3FBF">
        <w:t>contract</w:t>
      </w:r>
      <w:proofErr w:type="gramEnd"/>
    </w:p>
    <w:p w14:paraId="0F63B35E" w14:textId="77777777" w:rsidR="00000000" w:rsidRPr="001C3FBF" w:rsidRDefault="00000000" w:rsidP="001C3FBF">
      <w:pPr>
        <w:numPr>
          <w:ilvl w:val="1"/>
          <w:numId w:val="14"/>
        </w:numPr>
      </w:pPr>
      <w:r w:rsidRPr="001C3FBF">
        <w:t xml:space="preserve">If the vendor says that all images have alt-text, include that as part of the </w:t>
      </w:r>
      <w:proofErr w:type="gramStart"/>
      <w:r w:rsidRPr="001C3FBF">
        <w:t>contract</w:t>
      </w:r>
      <w:proofErr w:type="gramEnd"/>
    </w:p>
    <w:p w14:paraId="7EE4DC29" w14:textId="77777777" w:rsidR="00000000" w:rsidRPr="001C3FBF" w:rsidRDefault="00000000" w:rsidP="001C3FBF">
      <w:pPr>
        <w:pStyle w:val="Heading2"/>
      </w:pPr>
      <w:r w:rsidRPr="001C3FBF">
        <w:t>What if something breaks? It happens!</w:t>
      </w:r>
    </w:p>
    <w:p w14:paraId="2CDF07E2" w14:textId="77777777" w:rsidR="00000000" w:rsidRPr="001C3FBF" w:rsidRDefault="00000000" w:rsidP="001C3FBF">
      <w:pPr>
        <w:numPr>
          <w:ilvl w:val="0"/>
          <w:numId w:val="15"/>
        </w:numPr>
      </w:pPr>
      <w:r w:rsidRPr="001C3FBF">
        <w:t xml:space="preserve">Sometimes updates can break the accessibility of an electronic </w:t>
      </w:r>
      <w:proofErr w:type="gramStart"/>
      <w:r w:rsidRPr="001C3FBF">
        <w:t>resource</w:t>
      </w:r>
      <w:proofErr w:type="gramEnd"/>
    </w:p>
    <w:p w14:paraId="033E2DAA" w14:textId="77777777" w:rsidR="00000000" w:rsidRPr="001C3FBF" w:rsidRDefault="00000000" w:rsidP="001C3FBF">
      <w:pPr>
        <w:numPr>
          <w:ilvl w:val="0"/>
          <w:numId w:val="15"/>
        </w:numPr>
      </w:pPr>
      <w:r w:rsidRPr="001C3FBF">
        <w:t xml:space="preserve">Sometimes a vendor will add something new and will forget to incorporate </w:t>
      </w:r>
      <w:proofErr w:type="gramStart"/>
      <w:r w:rsidRPr="001C3FBF">
        <w:t>accessibility</w:t>
      </w:r>
      <w:proofErr w:type="gramEnd"/>
    </w:p>
    <w:p w14:paraId="036A8DF5" w14:textId="77777777" w:rsidR="00000000" w:rsidRPr="001C3FBF" w:rsidRDefault="00000000" w:rsidP="001C3FBF">
      <w:pPr>
        <w:numPr>
          <w:ilvl w:val="0"/>
          <w:numId w:val="15"/>
        </w:numPr>
      </w:pPr>
      <w:r w:rsidRPr="001C3FBF">
        <w:t>Develop a process for feedback about inaccessible features of the product (who can we contact and what actions can be taken?)</w:t>
      </w:r>
    </w:p>
    <w:p w14:paraId="5AAAEFB8" w14:textId="0B41A1AD" w:rsidR="00000000" w:rsidRPr="001C3FBF" w:rsidRDefault="00000000" w:rsidP="001C3FBF">
      <w:pPr>
        <w:pStyle w:val="Heading1"/>
      </w:pPr>
      <w:r w:rsidRPr="001C3FBF">
        <w:t>Accessibility requirements</w:t>
      </w:r>
      <w:r w:rsidR="001C3FBF">
        <w:t xml:space="preserve">: </w:t>
      </w:r>
      <w:r w:rsidRPr="001C3FBF">
        <w:t>Deep dive</w:t>
      </w:r>
    </w:p>
    <w:p w14:paraId="6ABB49F2" w14:textId="77777777" w:rsidR="00000000" w:rsidRPr="001C3FBF" w:rsidRDefault="00000000" w:rsidP="001C3FBF">
      <w:pPr>
        <w:pStyle w:val="Heading2"/>
      </w:pPr>
      <w:r w:rsidRPr="001C3FBF">
        <w:t xml:space="preserve">Requirements overview </w:t>
      </w:r>
      <w:r w:rsidRPr="001C3FBF">
        <w:tab/>
      </w:r>
    </w:p>
    <w:p w14:paraId="2E10BC88" w14:textId="77777777" w:rsidR="00000000" w:rsidRPr="001C3FBF" w:rsidRDefault="00000000" w:rsidP="001C3FBF">
      <w:pPr>
        <w:numPr>
          <w:ilvl w:val="0"/>
          <w:numId w:val="16"/>
        </w:numPr>
      </w:pPr>
      <w:r w:rsidRPr="001C3FBF">
        <w:t>List individual, specific requirements</w:t>
      </w:r>
    </w:p>
    <w:p w14:paraId="531D6B4C" w14:textId="77777777" w:rsidR="00000000" w:rsidRPr="001C3FBF" w:rsidRDefault="00000000" w:rsidP="001C3FBF">
      <w:pPr>
        <w:numPr>
          <w:ilvl w:val="0"/>
          <w:numId w:val="16"/>
        </w:numPr>
      </w:pPr>
      <w:r w:rsidRPr="001C3FBF">
        <w:t xml:space="preserve">Requirements should be </w:t>
      </w:r>
      <w:proofErr w:type="gramStart"/>
      <w:r w:rsidRPr="001C3FBF">
        <w:t>measurable</w:t>
      </w:r>
      <w:proofErr w:type="gramEnd"/>
    </w:p>
    <w:p w14:paraId="2AAA1DCC" w14:textId="77777777" w:rsidR="00000000" w:rsidRPr="001C3FBF" w:rsidRDefault="00000000" w:rsidP="001C3FBF">
      <w:pPr>
        <w:numPr>
          <w:ilvl w:val="0"/>
          <w:numId w:val="16"/>
        </w:numPr>
      </w:pPr>
      <w:r w:rsidRPr="001C3FBF">
        <w:t xml:space="preserve">Allow the vendor the opportunity to respond to the accessibility of the </w:t>
      </w:r>
      <w:proofErr w:type="gramStart"/>
      <w:r w:rsidRPr="001C3FBF">
        <w:t>requirements</w:t>
      </w:r>
      <w:proofErr w:type="gramEnd"/>
    </w:p>
    <w:p w14:paraId="5B45F71F" w14:textId="77777777" w:rsidR="00000000" w:rsidRPr="001C3FBF" w:rsidRDefault="00000000" w:rsidP="001C3FBF">
      <w:pPr>
        <w:numPr>
          <w:ilvl w:val="1"/>
          <w:numId w:val="16"/>
        </w:numPr>
      </w:pPr>
      <w:r w:rsidRPr="001C3FBF">
        <w:t xml:space="preserve">This gives the vendor an opportunity to reflect on the accessibility of their </w:t>
      </w:r>
      <w:proofErr w:type="gramStart"/>
      <w:r w:rsidRPr="001C3FBF">
        <w:t>product</w:t>
      </w:r>
      <w:proofErr w:type="gramEnd"/>
      <w:r w:rsidRPr="001C3FBF">
        <w:t xml:space="preserve"> </w:t>
      </w:r>
    </w:p>
    <w:p w14:paraId="26263C33" w14:textId="77777777" w:rsidR="00000000" w:rsidRPr="001C3FBF" w:rsidRDefault="00000000" w:rsidP="001C3FBF">
      <w:pPr>
        <w:numPr>
          <w:ilvl w:val="0"/>
          <w:numId w:val="16"/>
        </w:numPr>
      </w:pPr>
      <w:r w:rsidRPr="001C3FBF">
        <w:t xml:space="preserve">Finally, test and validate the vendor’s </w:t>
      </w:r>
      <w:proofErr w:type="gramStart"/>
      <w:r w:rsidRPr="001C3FBF">
        <w:t>response</w:t>
      </w:r>
      <w:proofErr w:type="gramEnd"/>
    </w:p>
    <w:p w14:paraId="23E04580" w14:textId="77777777" w:rsidR="00000000" w:rsidRPr="001C3FBF" w:rsidRDefault="00000000" w:rsidP="001C3FBF">
      <w:pPr>
        <w:numPr>
          <w:ilvl w:val="0"/>
          <w:numId w:val="16"/>
        </w:numPr>
      </w:pPr>
      <w:r w:rsidRPr="001C3FBF">
        <w:t xml:space="preserve">Visit accessible procurement resources for full </w:t>
      </w:r>
      <w:proofErr w:type="gramStart"/>
      <w:r w:rsidRPr="001C3FBF">
        <w:t>list</w:t>
      </w:r>
      <w:proofErr w:type="gramEnd"/>
    </w:p>
    <w:p w14:paraId="6DD6F239" w14:textId="77777777" w:rsidR="00000000" w:rsidRPr="001C3FBF" w:rsidRDefault="00000000" w:rsidP="001C3FBF">
      <w:pPr>
        <w:pStyle w:val="Heading2"/>
      </w:pPr>
      <w:r w:rsidRPr="001C3FBF">
        <w:t>Requirement: Access to all controls</w:t>
      </w:r>
    </w:p>
    <w:p w14:paraId="6A1773C8" w14:textId="77777777" w:rsidR="00000000" w:rsidRPr="001C3FBF" w:rsidRDefault="00000000" w:rsidP="001C3FBF">
      <w:pPr>
        <w:numPr>
          <w:ilvl w:val="0"/>
          <w:numId w:val="17"/>
        </w:numPr>
      </w:pPr>
      <w:r w:rsidRPr="001C3FBF">
        <w:t>Enable Users to operate the Solution with a keyboard, headtracking, voice control, or switch device (e.g., have access to all controls and be able to move to them in a logical manner).</w:t>
      </w:r>
    </w:p>
    <w:p w14:paraId="20BD4432" w14:textId="68D8F96B" w:rsidR="001C3FBF" w:rsidRPr="001C3FBF" w:rsidRDefault="00000000" w:rsidP="001836E0">
      <w:pPr>
        <w:pStyle w:val="Heading2"/>
      </w:pPr>
      <w:r w:rsidRPr="001C3FBF">
        <w:t xml:space="preserve">Access to all </w:t>
      </w:r>
      <w:proofErr w:type="gramStart"/>
      <w:r w:rsidRPr="001C3FBF">
        <w:t>controls</w:t>
      </w:r>
      <w:proofErr w:type="gramEnd"/>
      <w:r w:rsidRPr="001C3FBF">
        <w:t xml:space="preserve"> demonstration</w:t>
      </w:r>
    </w:p>
    <w:p w14:paraId="44462875" w14:textId="1AF9B918" w:rsidR="00000000" w:rsidRPr="001C3FBF" w:rsidRDefault="00000000" w:rsidP="001C3FBF">
      <w:pPr>
        <w:pStyle w:val="Heading2"/>
      </w:pPr>
      <w:r w:rsidRPr="001C3FBF">
        <w:t>Requirement:</w:t>
      </w:r>
      <w:r w:rsidR="001C3FBF">
        <w:t xml:space="preserve"> </w:t>
      </w:r>
      <w:r w:rsidRPr="001C3FBF">
        <w:t>Interact with all elements</w:t>
      </w:r>
    </w:p>
    <w:p w14:paraId="528AD91C" w14:textId="77777777" w:rsidR="00000000" w:rsidRPr="001C3FBF" w:rsidRDefault="00000000" w:rsidP="001C3FBF">
      <w:pPr>
        <w:numPr>
          <w:ilvl w:val="0"/>
          <w:numId w:val="17"/>
        </w:numPr>
      </w:pPr>
      <w:r w:rsidRPr="001C3FBF">
        <w:t>Enable Users to identify and interact with all elements in the Solution (e.g., input field, buttons, checkboxes, links etc.). All these elements should have text labels.</w:t>
      </w:r>
    </w:p>
    <w:p w14:paraId="33B7E163" w14:textId="77777777" w:rsidR="00000000" w:rsidRPr="001C3FBF" w:rsidRDefault="00000000" w:rsidP="001C3FBF">
      <w:pPr>
        <w:pStyle w:val="Heading2"/>
      </w:pPr>
      <w:r w:rsidRPr="001C3FBF">
        <w:t>Requirement: Adjustable features</w:t>
      </w:r>
    </w:p>
    <w:p w14:paraId="304E611E" w14:textId="77777777" w:rsidR="00000000" w:rsidRPr="001C3FBF" w:rsidRDefault="00000000" w:rsidP="001836E0">
      <w:pPr>
        <w:numPr>
          <w:ilvl w:val="0"/>
          <w:numId w:val="17"/>
        </w:numPr>
      </w:pPr>
      <w:r w:rsidRPr="001C3FBF">
        <w:lastRenderedPageBreak/>
        <w:t>Visual appearance such as font size, spacing, font type, etc., should be adjustable as features of the Solution.</w:t>
      </w:r>
    </w:p>
    <w:p w14:paraId="49F080AF" w14:textId="2351E146" w:rsidR="00000000" w:rsidRPr="001836E0" w:rsidRDefault="00000000" w:rsidP="001836E0">
      <w:pPr>
        <w:pStyle w:val="Heading2"/>
      </w:pPr>
      <w:r w:rsidRPr="001C3FBF">
        <w:t>Adjustable features</w:t>
      </w:r>
      <w:r w:rsidR="001836E0">
        <w:t xml:space="preserve"> demonstration</w:t>
      </w:r>
    </w:p>
    <w:p w14:paraId="2A8589AD" w14:textId="77777777" w:rsidR="00000000" w:rsidRPr="001C3FBF" w:rsidRDefault="00000000" w:rsidP="001836E0">
      <w:pPr>
        <w:pStyle w:val="Heading2"/>
      </w:pPr>
      <w:r w:rsidRPr="001C3FBF">
        <w:t>Requirement: Navigation</w:t>
      </w:r>
    </w:p>
    <w:p w14:paraId="5FFF6BFE" w14:textId="77777777" w:rsidR="00000000" w:rsidRPr="001C3FBF" w:rsidRDefault="00000000" w:rsidP="001836E0">
      <w:pPr>
        <w:numPr>
          <w:ilvl w:val="0"/>
          <w:numId w:val="17"/>
        </w:numPr>
      </w:pPr>
      <w:r w:rsidRPr="001C3FBF">
        <w:t xml:space="preserve">The Solution should enable all Users to determine where they are on the interface in the Solution. Structure (headings, landmarks, and changing of the &lt;title&gt; on page load) is important to help users distinguish where they are on the interface. This should also include highlighted elements to show the focus visually. </w:t>
      </w:r>
    </w:p>
    <w:p w14:paraId="64DEC750" w14:textId="77777777" w:rsidR="00000000" w:rsidRPr="001C3FBF" w:rsidRDefault="00000000" w:rsidP="001836E0">
      <w:pPr>
        <w:pStyle w:val="Heading2"/>
      </w:pPr>
      <w:r w:rsidRPr="001C3FBF">
        <w:t>Navigation demonstration</w:t>
      </w:r>
    </w:p>
    <w:p w14:paraId="5191324F" w14:textId="77777777" w:rsidR="00000000" w:rsidRPr="001C3FBF" w:rsidRDefault="00000000" w:rsidP="001836E0">
      <w:pPr>
        <w:pStyle w:val="Heading2"/>
      </w:pPr>
      <w:r w:rsidRPr="001C3FBF">
        <w:t>Requirement: Alt-Text</w:t>
      </w:r>
    </w:p>
    <w:p w14:paraId="4A43F044" w14:textId="77777777" w:rsidR="00000000" w:rsidRPr="001C3FBF" w:rsidRDefault="00000000" w:rsidP="001836E0">
      <w:pPr>
        <w:numPr>
          <w:ilvl w:val="0"/>
          <w:numId w:val="17"/>
        </w:numPr>
      </w:pPr>
      <w:r w:rsidRPr="001C3FBF">
        <w:t xml:space="preserve">Enable Users to access information that images convey. (Images should have alt-text, for example) </w:t>
      </w:r>
    </w:p>
    <w:p w14:paraId="2B654C4D" w14:textId="77777777" w:rsidR="00000000" w:rsidRPr="001C3FBF" w:rsidRDefault="00000000" w:rsidP="001836E0">
      <w:pPr>
        <w:pStyle w:val="Heading2"/>
      </w:pPr>
      <w:r w:rsidRPr="001C3FBF">
        <w:t>Alt-Text demonstration</w:t>
      </w:r>
    </w:p>
    <w:p w14:paraId="682CF984" w14:textId="77777777" w:rsidR="00000000" w:rsidRPr="001C3FBF" w:rsidRDefault="00000000" w:rsidP="001836E0">
      <w:pPr>
        <w:pStyle w:val="Heading2"/>
      </w:pPr>
      <w:r w:rsidRPr="001C3FBF">
        <w:t>Requirement: No separate version</w:t>
      </w:r>
    </w:p>
    <w:p w14:paraId="206D2B1A" w14:textId="77777777" w:rsidR="00000000" w:rsidRPr="001C3FBF" w:rsidRDefault="00000000" w:rsidP="001836E0">
      <w:pPr>
        <w:numPr>
          <w:ilvl w:val="0"/>
          <w:numId w:val="17"/>
        </w:numPr>
      </w:pPr>
      <w:r w:rsidRPr="001C3FBF">
        <w:t>Enable all Users to have access to the same Solution, not a different and "accessible" version.</w:t>
      </w:r>
    </w:p>
    <w:p w14:paraId="171B3860" w14:textId="6431784B" w:rsidR="00000000" w:rsidRPr="001C3FBF" w:rsidRDefault="00000000" w:rsidP="001836E0">
      <w:pPr>
        <w:pStyle w:val="Heading2"/>
      </w:pPr>
      <w:r w:rsidRPr="001C3FBF">
        <w:t>Requirement: Accessibility of pre-loaded content</w:t>
      </w:r>
    </w:p>
    <w:p w14:paraId="0A4E69A2" w14:textId="77777777" w:rsidR="00000000" w:rsidRPr="001C3FBF" w:rsidRDefault="00000000" w:rsidP="001836E0">
      <w:pPr>
        <w:numPr>
          <w:ilvl w:val="0"/>
          <w:numId w:val="17"/>
        </w:numPr>
      </w:pPr>
      <w:r w:rsidRPr="001C3FBF">
        <w:t xml:space="preserve">The Solution will have considered accessibility for the pre-loaded content available in the platform. Please describe what accessibility features the content has prioritized. </w:t>
      </w:r>
    </w:p>
    <w:p w14:paraId="7D372C83" w14:textId="77777777" w:rsidR="00000000" w:rsidRPr="001C3FBF" w:rsidRDefault="00000000" w:rsidP="001836E0">
      <w:pPr>
        <w:pStyle w:val="Heading1"/>
      </w:pPr>
      <w:r w:rsidRPr="001C3FBF">
        <w:t xml:space="preserve">Lessons </w:t>
      </w:r>
      <w:proofErr w:type="gramStart"/>
      <w:r w:rsidRPr="001C3FBF">
        <w:t>learned</w:t>
      </w:r>
      <w:proofErr w:type="gramEnd"/>
    </w:p>
    <w:p w14:paraId="48B3946D" w14:textId="77777777" w:rsidR="00000000" w:rsidRPr="001C3FBF" w:rsidRDefault="00000000" w:rsidP="001836E0">
      <w:pPr>
        <w:pStyle w:val="Heading2"/>
      </w:pPr>
      <w:r w:rsidRPr="001C3FBF">
        <w:t>Evolution of evaluation process</w:t>
      </w:r>
    </w:p>
    <w:p w14:paraId="2C51F696" w14:textId="77777777" w:rsidR="00000000" w:rsidRPr="001C3FBF" w:rsidRDefault="00000000" w:rsidP="001836E0">
      <w:pPr>
        <w:numPr>
          <w:ilvl w:val="0"/>
          <w:numId w:val="17"/>
        </w:numPr>
      </w:pPr>
      <w:r w:rsidRPr="001C3FBF">
        <w:t>Initially we asked proponents for:</w:t>
      </w:r>
    </w:p>
    <w:p w14:paraId="5F6D9BED" w14:textId="77777777" w:rsidR="00000000" w:rsidRPr="001C3FBF" w:rsidRDefault="00000000" w:rsidP="001836E0">
      <w:pPr>
        <w:numPr>
          <w:ilvl w:val="1"/>
          <w:numId w:val="17"/>
        </w:numPr>
      </w:pPr>
      <w:r w:rsidRPr="001C3FBF">
        <w:t xml:space="preserve">WCAG compliance, optional submission of VPAT and/or accessibility statement, accessibility road map </w:t>
      </w:r>
    </w:p>
    <w:p w14:paraId="0B03BF39" w14:textId="77777777" w:rsidR="00000000" w:rsidRPr="001C3FBF" w:rsidRDefault="00000000" w:rsidP="001836E0">
      <w:pPr>
        <w:numPr>
          <w:ilvl w:val="0"/>
          <w:numId w:val="17"/>
        </w:numPr>
      </w:pPr>
      <w:r w:rsidRPr="001C3FBF">
        <w:t>Over time we modified the process to include:</w:t>
      </w:r>
    </w:p>
    <w:p w14:paraId="29CBA54E" w14:textId="77777777" w:rsidR="00000000" w:rsidRPr="001C3FBF" w:rsidRDefault="00000000" w:rsidP="001836E0">
      <w:pPr>
        <w:numPr>
          <w:ilvl w:val="1"/>
          <w:numId w:val="17"/>
        </w:numPr>
      </w:pPr>
      <w:r w:rsidRPr="001C3FBF">
        <w:t>Specific and measurable accessibility requirements</w:t>
      </w:r>
    </w:p>
    <w:p w14:paraId="049172A3" w14:textId="77777777" w:rsidR="00000000" w:rsidRPr="001C3FBF" w:rsidRDefault="00000000" w:rsidP="001836E0">
      <w:pPr>
        <w:numPr>
          <w:ilvl w:val="1"/>
          <w:numId w:val="17"/>
        </w:numPr>
      </w:pPr>
      <w:r w:rsidRPr="001C3FBF">
        <w:t>Accessibility testers – validation of accessibility claims</w:t>
      </w:r>
    </w:p>
    <w:p w14:paraId="5AE78DC3" w14:textId="77777777" w:rsidR="00000000" w:rsidRPr="001C3FBF" w:rsidRDefault="00000000" w:rsidP="001836E0">
      <w:pPr>
        <w:pStyle w:val="Heading2"/>
      </w:pPr>
      <w:r w:rsidRPr="001C3FBF">
        <w:t>What we will do differently next time</w:t>
      </w:r>
    </w:p>
    <w:p w14:paraId="003654AD" w14:textId="77777777" w:rsidR="00000000" w:rsidRPr="001C3FBF" w:rsidRDefault="00000000" w:rsidP="001836E0">
      <w:pPr>
        <w:numPr>
          <w:ilvl w:val="0"/>
          <w:numId w:val="18"/>
        </w:numPr>
      </w:pPr>
      <w:r w:rsidRPr="001C3FBF">
        <w:t>Review and modify the requirements (iterative process)</w:t>
      </w:r>
    </w:p>
    <w:p w14:paraId="3F5B145D" w14:textId="77777777" w:rsidR="00000000" w:rsidRPr="001C3FBF" w:rsidRDefault="00000000" w:rsidP="001836E0">
      <w:pPr>
        <w:numPr>
          <w:ilvl w:val="0"/>
          <w:numId w:val="18"/>
        </w:numPr>
      </w:pPr>
      <w:r w:rsidRPr="001C3FBF">
        <w:t xml:space="preserve">Reframe: What will render a resource irredeemably unusable for a print-disabled user? </w:t>
      </w:r>
    </w:p>
    <w:p w14:paraId="24291160" w14:textId="77777777" w:rsidR="00000000" w:rsidRPr="001C3FBF" w:rsidRDefault="00000000" w:rsidP="001836E0">
      <w:pPr>
        <w:numPr>
          <w:ilvl w:val="0"/>
          <w:numId w:val="18"/>
        </w:numPr>
      </w:pPr>
      <w:r w:rsidRPr="001C3FBF">
        <w:t xml:space="preserve">Kickoff meeting before testing to discuss requirements and how they will be </w:t>
      </w:r>
      <w:proofErr w:type="gramStart"/>
      <w:r w:rsidRPr="001C3FBF">
        <w:t>tested</w:t>
      </w:r>
      <w:proofErr w:type="gramEnd"/>
    </w:p>
    <w:p w14:paraId="568C4CB7" w14:textId="77777777" w:rsidR="00000000" w:rsidRPr="001C3FBF" w:rsidRDefault="00000000" w:rsidP="001836E0">
      <w:pPr>
        <w:numPr>
          <w:ilvl w:val="0"/>
          <w:numId w:val="18"/>
        </w:numPr>
      </w:pPr>
      <w:r w:rsidRPr="001C3FBF">
        <w:lastRenderedPageBreak/>
        <w:t>Make sure the RFP posting and associated documents are accessible (walk the talk)</w:t>
      </w:r>
    </w:p>
    <w:p w14:paraId="5F67F533" w14:textId="77777777" w:rsidR="00000000" w:rsidRPr="001C3FBF" w:rsidRDefault="00000000" w:rsidP="001836E0">
      <w:pPr>
        <w:numPr>
          <w:ilvl w:val="0"/>
          <w:numId w:val="18"/>
        </w:numPr>
      </w:pPr>
      <w:r w:rsidRPr="001C3FBF">
        <w:t xml:space="preserve">Ask the vendor to </w:t>
      </w:r>
      <w:proofErr w:type="spellStart"/>
      <w:r w:rsidRPr="001C3FBF">
        <w:t>prescreen</w:t>
      </w:r>
      <w:proofErr w:type="spellEnd"/>
      <w:r w:rsidRPr="001C3FBF">
        <w:t xml:space="preserve"> with automated accessibility </w:t>
      </w:r>
      <w:proofErr w:type="gramStart"/>
      <w:r w:rsidRPr="001C3FBF">
        <w:t>test</w:t>
      </w:r>
      <w:proofErr w:type="gramEnd"/>
    </w:p>
    <w:p w14:paraId="323694DF" w14:textId="77777777" w:rsidR="00000000" w:rsidRPr="001C3FBF" w:rsidRDefault="00000000" w:rsidP="001836E0">
      <w:pPr>
        <w:pStyle w:val="Heading2"/>
      </w:pPr>
      <w:r w:rsidRPr="001C3FBF">
        <w:t>Other considerations</w:t>
      </w:r>
    </w:p>
    <w:p w14:paraId="72FA05B3" w14:textId="77777777" w:rsidR="00000000" w:rsidRPr="001C3FBF" w:rsidRDefault="00000000" w:rsidP="001836E0">
      <w:pPr>
        <w:numPr>
          <w:ilvl w:val="0"/>
          <w:numId w:val="19"/>
        </w:numPr>
      </w:pPr>
      <w:r w:rsidRPr="001C3FBF">
        <w:t>More integration with other functional requirements?</w:t>
      </w:r>
    </w:p>
    <w:p w14:paraId="7CB9AA4C" w14:textId="77777777" w:rsidR="00000000" w:rsidRPr="001C3FBF" w:rsidRDefault="00000000" w:rsidP="001836E0">
      <w:pPr>
        <w:numPr>
          <w:ilvl w:val="0"/>
          <w:numId w:val="19"/>
        </w:numPr>
      </w:pPr>
      <w:r w:rsidRPr="001C3FBF">
        <w:t>General UX vs. WCAG requirements</w:t>
      </w:r>
    </w:p>
    <w:p w14:paraId="79C712A0" w14:textId="77777777" w:rsidR="00000000" w:rsidRPr="001C3FBF" w:rsidRDefault="00000000" w:rsidP="001836E0">
      <w:pPr>
        <w:numPr>
          <w:ilvl w:val="1"/>
          <w:numId w:val="19"/>
        </w:numPr>
      </w:pPr>
      <w:r w:rsidRPr="001C3FBF">
        <w:t xml:space="preserve">WCAG is a starting </w:t>
      </w:r>
      <w:proofErr w:type="gramStart"/>
      <w:r w:rsidRPr="001C3FBF">
        <w:t>point</w:t>
      </w:r>
      <w:proofErr w:type="gramEnd"/>
    </w:p>
    <w:p w14:paraId="65228F6A" w14:textId="77777777" w:rsidR="00000000" w:rsidRPr="001C3FBF" w:rsidRDefault="00000000" w:rsidP="001836E0">
      <w:pPr>
        <w:numPr>
          <w:ilvl w:val="1"/>
          <w:numId w:val="19"/>
        </w:numPr>
      </w:pPr>
      <w:r w:rsidRPr="001C3FBF">
        <w:t>How do we measure user experience?</w:t>
      </w:r>
    </w:p>
    <w:p w14:paraId="79E4C91E" w14:textId="77777777" w:rsidR="00000000" w:rsidRPr="001C3FBF" w:rsidRDefault="00000000" w:rsidP="001836E0">
      <w:pPr>
        <w:pStyle w:val="Heading2"/>
      </w:pPr>
      <w:r w:rsidRPr="001C3FBF">
        <w:t>Key takeaways</w:t>
      </w:r>
    </w:p>
    <w:p w14:paraId="59048E84" w14:textId="77777777" w:rsidR="00000000" w:rsidRPr="001C3FBF" w:rsidRDefault="00000000" w:rsidP="001836E0">
      <w:pPr>
        <w:numPr>
          <w:ilvl w:val="0"/>
          <w:numId w:val="20"/>
        </w:numPr>
      </w:pPr>
      <w:r w:rsidRPr="001C3FBF">
        <w:t xml:space="preserve">Ask users with lived </w:t>
      </w:r>
      <w:proofErr w:type="gramStart"/>
      <w:r w:rsidRPr="001C3FBF">
        <w:t>experience</w:t>
      </w:r>
      <w:proofErr w:type="gramEnd"/>
    </w:p>
    <w:p w14:paraId="1EDC3925" w14:textId="77777777" w:rsidR="00000000" w:rsidRPr="001C3FBF" w:rsidRDefault="00000000" w:rsidP="001836E0">
      <w:pPr>
        <w:numPr>
          <w:ilvl w:val="1"/>
          <w:numId w:val="20"/>
        </w:numPr>
      </w:pPr>
      <w:r w:rsidRPr="001C3FBF">
        <w:t xml:space="preserve">Include people with lived experience from the beginning and right through until the end of the RFP </w:t>
      </w:r>
      <w:proofErr w:type="gramStart"/>
      <w:r w:rsidRPr="001C3FBF">
        <w:t>process</w:t>
      </w:r>
      <w:proofErr w:type="gramEnd"/>
      <w:r w:rsidRPr="001C3FBF">
        <w:t xml:space="preserve"> </w:t>
      </w:r>
    </w:p>
    <w:p w14:paraId="0188F618" w14:textId="77777777" w:rsidR="00000000" w:rsidRPr="001C3FBF" w:rsidRDefault="00000000" w:rsidP="001836E0">
      <w:pPr>
        <w:numPr>
          <w:ilvl w:val="1"/>
          <w:numId w:val="20"/>
        </w:numPr>
      </w:pPr>
      <w:r w:rsidRPr="001C3FBF">
        <w:t xml:space="preserve">Pay </w:t>
      </w:r>
      <w:proofErr w:type="gramStart"/>
      <w:r w:rsidRPr="001C3FBF">
        <w:t>them</w:t>
      </w:r>
      <w:proofErr w:type="gramEnd"/>
    </w:p>
    <w:p w14:paraId="7E55AC4A" w14:textId="77777777" w:rsidR="00000000" w:rsidRPr="001C3FBF" w:rsidRDefault="00000000" w:rsidP="001836E0">
      <w:pPr>
        <w:numPr>
          <w:ilvl w:val="0"/>
          <w:numId w:val="20"/>
        </w:numPr>
      </w:pPr>
      <w:r w:rsidRPr="001C3FBF">
        <w:t xml:space="preserve">Establish accessibility as a priority when evaluating current or new </w:t>
      </w:r>
      <w:proofErr w:type="gramStart"/>
      <w:r w:rsidRPr="001C3FBF">
        <w:t>resources</w:t>
      </w:r>
      <w:proofErr w:type="gramEnd"/>
    </w:p>
    <w:p w14:paraId="37BF8E37" w14:textId="77777777" w:rsidR="00000000" w:rsidRPr="001836E0" w:rsidRDefault="00000000" w:rsidP="001836E0">
      <w:pPr>
        <w:pStyle w:val="Heading2"/>
      </w:pPr>
      <w:r w:rsidRPr="001836E0">
        <w:t>What if my library does not do procurement?</w:t>
      </w:r>
    </w:p>
    <w:p w14:paraId="4ABFB89C" w14:textId="77777777" w:rsidR="00000000" w:rsidRPr="001C3FBF" w:rsidRDefault="00000000" w:rsidP="001C3FBF">
      <w:r w:rsidRPr="001C3FBF">
        <w:t>Why should I learn about accessible procurement?</w:t>
      </w:r>
    </w:p>
    <w:p w14:paraId="381A1057" w14:textId="77777777" w:rsidR="00000000" w:rsidRPr="001836E0" w:rsidRDefault="00000000" w:rsidP="001836E0">
      <w:pPr>
        <w:pStyle w:val="Heading2"/>
      </w:pPr>
      <w:r w:rsidRPr="001836E0">
        <w:t>Because ALL libraries do procurement</w:t>
      </w:r>
      <w:r w:rsidRPr="001836E0">
        <w:tab/>
      </w:r>
    </w:p>
    <w:p w14:paraId="5AF1A103" w14:textId="77777777" w:rsidR="00000000" w:rsidRPr="001C3FBF" w:rsidRDefault="00000000" w:rsidP="001836E0">
      <w:pPr>
        <w:numPr>
          <w:ilvl w:val="0"/>
          <w:numId w:val="21"/>
        </w:numPr>
      </w:pPr>
      <w:r w:rsidRPr="001C3FBF">
        <w:t xml:space="preserve">Even if you are part of a library system or a consortium that procures electronic resources on your behalf, you are still purchasing e-content. </w:t>
      </w:r>
    </w:p>
    <w:p w14:paraId="02BACDE7" w14:textId="77777777" w:rsidR="00000000" w:rsidRPr="001C3FBF" w:rsidRDefault="00000000" w:rsidP="001836E0">
      <w:pPr>
        <w:numPr>
          <w:ilvl w:val="0"/>
          <w:numId w:val="21"/>
        </w:numPr>
      </w:pPr>
      <w:r w:rsidRPr="001C3FBF">
        <w:t xml:space="preserve">Get involved: ask questions about how they evaluate the accessibility of resources. </w:t>
      </w:r>
    </w:p>
    <w:p w14:paraId="5379DA47" w14:textId="77777777" w:rsidR="00000000" w:rsidRPr="001C3FBF" w:rsidRDefault="00000000" w:rsidP="001836E0">
      <w:pPr>
        <w:numPr>
          <w:ilvl w:val="0"/>
          <w:numId w:val="21"/>
        </w:numPr>
      </w:pPr>
      <w:proofErr w:type="gramStart"/>
      <w:r w:rsidRPr="001C3FBF">
        <w:t>Offer assistance</w:t>
      </w:r>
      <w:proofErr w:type="gramEnd"/>
      <w:r w:rsidRPr="001C3FBF">
        <w:t xml:space="preserve"> if they have not thought about it. </w:t>
      </w:r>
    </w:p>
    <w:p w14:paraId="04B7BAF4" w14:textId="77777777" w:rsidR="00000000" w:rsidRPr="001C3FBF" w:rsidRDefault="00000000" w:rsidP="001836E0">
      <w:pPr>
        <w:numPr>
          <w:ilvl w:val="0"/>
          <w:numId w:val="21"/>
        </w:numPr>
      </w:pPr>
      <w:r w:rsidRPr="001C3FBF">
        <w:t>We are all learning together!</w:t>
      </w:r>
    </w:p>
    <w:p w14:paraId="178BCF00" w14:textId="77777777" w:rsidR="00000000" w:rsidRPr="001C3FBF" w:rsidRDefault="00000000" w:rsidP="001836E0">
      <w:pPr>
        <w:pStyle w:val="Heading2"/>
      </w:pPr>
      <w:r w:rsidRPr="001C3FBF">
        <w:t xml:space="preserve">Because it makes you a better librarian </w:t>
      </w:r>
      <w:r w:rsidRPr="001C3FBF">
        <w:tab/>
      </w:r>
    </w:p>
    <w:p w14:paraId="6990FADB" w14:textId="77777777" w:rsidR="00000000" w:rsidRPr="001C3FBF" w:rsidRDefault="00000000" w:rsidP="001836E0">
      <w:pPr>
        <w:numPr>
          <w:ilvl w:val="0"/>
          <w:numId w:val="22"/>
        </w:numPr>
      </w:pPr>
      <w:r w:rsidRPr="001C3FBF">
        <w:t xml:space="preserve">Understanding accessible requirements will help you to understand </w:t>
      </w:r>
      <w:proofErr w:type="gramStart"/>
      <w:r w:rsidRPr="001C3FBF">
        <w:t>accessibility</w:t>
      </w:r>
      <w:proofErr w:type="gramEnd"/>
    </w:p>
    <w:p w14:paraId="79F484D0" w14:textId="77777777" w:rsidR="00000000" w:rsidRPr="001C3FBF" w:rsidRDefault="00000000" w:rsidP="001836E0">
      <w:pPr>
        <w:numPr>
          <w:ilvl w:val="0"/>
          <w:numId w:val="22"/>
        </w:numPr>
      </w:pPr>
      <w:r w:rsidRPr="001C3FBF">
        <w:t xml:space="preserve">You can recommend accessible e-resources and know what accessibility features they </w:t>
      </w:r>
      <w:proofErr w:type="gramStart"/>
      <w:r w:rsidRPr="001C3FBF">
        <w:t>have</w:t>
      </w:r>
      <w:proofErr w:type="gramEnd"/>
    </w:p>
    <w:p w14:paraId="349816ED" w14:textId="77777777" w:rsidR="00000000" w:rsidRPr="001C3FBF" w:rsidRDefault="00000000" w:rsidP="001836E0">
      <w:pPr>
        <w:numPr>
          <w:ilvl w:val="0"/>
          <w:numId w:val="22"/>
        </w:numPr>
      </w:pPr>
      <w:r w:rsidRPr="001C3FBF">
        <w:t xml:space="preserve">You will be better equipped to understand accessibility-related </w:t>
      </w:r>
      <w:proofErr w:type="gramStart"/>
      <w:r w:rsidRPr="001C3FBF">
        <w:t>concerns</w:t>
      </w:r>
      <w:proofErr w:type="gramEnd"/>
    </w:p>
    <w:p w14:paraId="49B44336" w14:textId="77777777" w:rsidR="00000000" w:rsidRPr="001C3FBF" w:rsidRDefault="00000000" w:rsidP="001836E0">
      <w:pPr>
        <w:numPr>
          <w:ilvl w:val="0"/>
          <w:numId w:val="22"/>
        </w:numPr>
      </w:pPr>
      <w:r w:rsidRPr="001C3FBF">
        <w:t xml:space="preserve">Visit the NNELS reading app reports to learn about the accessibility of library </w:t>
      </w:r>
      <w:proofErr w:type="gramStart"/>
      <w:r w:rsidRPr="001C3FBF">
        <w:t>resources</w:t>
      </w:r>
      <w:proofErr w:type="gramEnd"/>
      <w:r w:rsidRPr="001C3FBF">
        <w:t xml:space="preserve"> </w:t>
      </w:r>
    </w:p>
    <w:p w14:paraId="2383428A" w14:textId="3F40A2CC" w:rsidR="00000000" w:rsidRPr="001C3FBF" w:rsidRDefault="00000000" w:rsidP="001836E0">
      <w:pPr>
        <w:pStyle w:val="Heading2"/>
      </w:pPr>
      <w:r w:rsidRPr="001C3FBF">
        <w:t>Because you will be able to provide better patron experience</w:t>
      </w:r>
      <w:r w:rsidRPr="001C3FBF">
        <w:tab/>
      </w:r>
    </w:p>
    <w:p w14:paraId="7D9C6C64" w14:textId="77777777" w:rsidR="00000000" w:rsidRPr="001C3FBF" w:rsidRDefault="00000000" w:rsidP="001836E0">
      <w:pPr>
        <w:numPr>
          <w:ilvl w:val="0"/>
          <w:numId w:val="23"/>
        </w:numPr>
      </w:pPr>
      <w:r w:rsidRPr="001C3FBF">
        <w:t xml:space="preserve">Being able to talk about the accessibility (or lack thereof) of your e-content provides the patron with a better library </w:t>
      </w:r>
      <w:proofErr w:type="gramStart"/>
      <w:r w:rsidRPr="001C3FBF">
        <w:t>experience</w:t>
      </w:r>
      <w:proofErr w:type="gramEnd"/>
    </w:p>
    <w:p w14:paraId="74F7245F" w14:textId="77777777" w:rsidR="00000000" w:rsidRPr="001C3FBF" w:rsidRDefault="00000000" w:rsidP="001836E0">
      <w:pPr>
        <w:numPr>
          <w:ilvl w:val="0"/>
          <w:numId w:val="23"/>
        </w:numPr>
      </w:pPr>
      <w:r w:rsidRPr="001C3FBF">
        <w:t xml:space="preserve">For example, one platform might have excellent adjustable features, so you might recommend that to someone who prefers to modify the font size or colour. </w:t>
      </w:r>
    </w:p>
    <w:p w14:paraId="483B4DDE" w14:textId="77777777" w:rsidR="00000000" w:rsidRPr="001C3FBF" w:rsidRDefault="00000000" w:rsidP="001836E0">
      <w:pPr>
        <w:pStyle w:val="Heading2"/>
      </w:pPr>
      <w:r w:rsidRPr="001C3FBF">
        <w:t>Because it demonstrates a commitment to accessibility</w:t>
      </w:r>
    </w:p>
    <w:p w14:paraId="26271325" w14:textId="77777777" w:rsidR="00000000" w:rsidRPr="001C3FBF" w:rsidRDefault="00000000" w:rsidP="001836E0">
      <w:pPr>
        <w:numPr>
          <w:ilvl w:val="0"/>
          <w:numId w:val="24"/>
        </w:numPr>
      </w:pPr>
      <w:r w:rsidRPr="001C3FBF">
        <w:lastRenderedPageBreak/>
        <w:t xml:space="preserve">Thinking about the accessibility of your e-resources, whether you are purchasing them directly or not, demonstrates a library’s commitment to </w:t>
      </w:r>
      <w:proofErr w:type="gramStart"/>
      <w:r w:rsidRPr="001C3FBF">
        <w:t>accessibility</w:t>
      </w:r>
      <w:proofErr w:type="gramEnd"/>
    </w:p>
    <w:p w14:paraId="44162F95" w14:textId="77777777" w:rsidR="00000000" w:rsidRPr="001C3FBF" w:rsidRDefault="00000000" w:rsidP="001836E0">
      <w:pPr>
        <w:numPr>
          <w:ilvl w:val="0"/>
          <w:numId w:val="24"/>
        </w:numPr>
      </w:pPr>
      <w:r w:rsidRPr="001C3FBF">
        <w:t>Visit the accessible procurement resources page on the PLARC website for resources about accessible procurement and accessible e-</w:t>
      </w:r>
      <w:proofErr w:type="gramStart"/>
      <w:r w:rsidRPr="001C3FBF">
        <w:t>content</w:t>
      </w:r>
      <w:proofErr w:type="gramEnd"/>
    </w:p>
    <w:p w14:paraId="222C495D" w14:textId="77777777" w:rsidR="00000000" w:rsidRPr="001C3FBF" w:rsidRDefault="00000000" w:rsidP="001836E0">
      <w:pPr>
        <w:pStyle w:val="Heading1"/>
      </w:pPr>
      <w:r w:rsidRPr="001C3FBF">
        <w:t>Library e-resources need to be accessible!</w:t>
      </w:r>
    </w:p>
    <w:p w14:paraId="18072D49" w14:textId="77777777" w:rsidR="00000000" w:rsidRPr="001C3FBF" w:rsidRDefault="00000000" w:rsidP="001836E0">
      <w:pPr>
        <w:pStyle w:val="Heading1"/>
      </w:pPr>
      <w:r w:rsidRPr="001C3FBF">
        <w:t>Questions?</w:t>
      </w:r>
    </w:p>
    <w:p w14:paraId="6660FB58" w14:textId="77777777" w:rsidR="00000000" w:rsidRPr="001C3FBF" w:rsidRDefault="00000000" w:rsidP="001836E0">
      <w:pPr>
        <w:pStyle w:val="Heading1"/>
      </w:pPr>
      <w:r w:rsidRPr="001C3FBF">
        <w:t>Thank you!</w:t>
      </w:r>
    </w:p>
    <w:p w14:paraId="31975728" w14:textId="354C6A83" w:rsidR="00000000" w:rsidRPr="001C3FBF" w:rsidRDefault="001836E0" w:rsidP="001C3FBF">
      <w:hyperlink r:id="rId5" w:history="1">
        <w:r w:rsidRPr="008A1978">
          <w:rPr>
            <w:rStyle w:val="Hyperlink"/>
          </w:rPr>
          <w:t>kimberly.johnson@gov.ab.ca</w:t>
        </w:r>
      </w:hyperlink>
      <w:r>
        <w:t xml:space="preserve"> </w:t>
      </w:r>
    </w:p>
    <w:p w14:paraId="15F75A7F" w14:textId="29CD290D" w:rsidR="00000000" w:rsidRPr="001C3FBF" w:rsidRDefault="001836E0" w:rsidP="001C3FBF">
      <w:hyperlink r:id="rId6" w:history="1">
        <w:r w:rsidRPr="008A1978">
          <w:rPr>
            <w:rStyle w:val="Hyperlink"/>
          </w:rPr>
          <w:t>kerry.anderson@gov.ab.ca</w:t>
        </w:r>
      </w:hyperlink>
      <w:r>
        <w:t xml:space="preserve"> </w:t>
      </w:r>
    </w:p>
    <w:p w14:paraId="4D57801F" w14:textId="3EFB3DDD" w:rsidR="00000000" w:rsidRPr="001C3FBF" w:rsidRDefault="001836E0" w:rsidP="001C3FBF">
      <w:hyperlink r:id="rId7" w:history="1">
        <w:r w:rsidRPr="008A1978">
          <w:rPr>
            <w:rStyle w:val="Hyperlink"/>
          </w:rPr>
          <w:t>laetitia.mfamobani@nnels.ca</w:t>
        </w:r>
      </w:hyperlink>
      <w:r>
        <w:t xml:space="preserve"> </w:t>
      </w:r>
    </w:p>
    <w:p w14:paraId="30DAF1C4" w14:textId="77777777" w:rsidR="00000000" w:rsidRPr="001C3FBF" w:rsidRDefault="00000000" w:rsidP="001C3FBF"/>
    <w:p w14:paraId="5A79B123" w14:textId="77777777" w:rsidR="0044336F" w:rsidRPr="001C3FBF" w:rsidRDefault="00000000" w:rsidP="001C3FBF">
      <w:r w:rsidRPr="001C3FBF">
        <w:t xml:space="preserve">  </w:t>
      </w:r>
    </w:p>
    <w:sectPr w:rsidR="0044336F" w:rsidRPr="001C3F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0BC75CA"/>
    <w:lvl w:ilvl="0">
      <w:numFmt w:val="bullet"/>
      <w:lvlText w:val="*"/>
      <w:lvlJc w:val="left"/>
    </w:lvl>
  </w:abstractNum>
  <w:abstractNum w:abstractNumId="1" w15:restartNumberingAfterBreak="0">
    <w:nsid w:val="06C61D4D"/>
    <w:multiLevelType w:val="hybridMultilevel"/>
    <w:tmpl w:val="7D52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0DA4"/>
    <w:multiLevelType w:val="hybridMultilevel"/>
    <w:tmpl w:val="DAF6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9A2"/>
    <w:multiLevelType w:val="hybridMultilevel"/>
    <w:tmpl w:val="781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F38"/>
    <w:multiLevelType w:val="hybridMultilevel"/>
    <w:tmpl w:val="71A8D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7F03"/>
    <w:multiLevelType w:val="hybridMultilevel"/>
    <w:tmpl w:val="E78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30F"/>
    <w:multiLevelType w:val="hybridMultilevel"/>
    <w:tmpl w:val="A11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D1631"/>
    <w:multiLevelType w:val="hybridMultilevel"/>
    <w:tmpl w:val="F366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361FA"/>
    <w:multiLevelType w:val="hybridMultilevel"/>
    <w:tmpl w:val="F9B0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F51F1"/>
    <w:multiLevelType w:val="hybridMultilevel"/>
    <w:tmpl w:val="9AE8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2582A"/>
    <w:multiLevelType w:val="hybridMultilevel"/>
    <w:tmpl w:val="3AC8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0452"/>
    <w:multiLevelType w:val="hybridMultilevel"/>
    <w:tmpl w:val="DDE6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87035"/>
    <w:multiLevelType w:val="hybridMultilevel"/>
    <w:tmpl w:val="C472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979F0"/>
    <w:multiLevelType w:val="hybridMultilevel"/>
    <w:tmpl w:val="7068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16817"/>
    <w:multiLevelType w:val="hybridMultilevel"/>
    <w:tmpl w:val="EC40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36D69"/>
    <w:multiLevelType w:val="hybridMultilevel"/>
    <w:tmpl w:val="5CCE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B0B5D"/>
    <w:multiLevelType w:val="hybridMultilevel"/>
    <w:tmpl w:val="21FE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D63B5"/>
    <w:multiLevelType w:val="hybridMultilevel"/>
    <w:tmpl w:val="F260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E45FC"/>
    <w:multiLevelType w:val="hybridMultilevel"/>
    <w:tmpl w:val="49B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93051"/>
    <w:multiLevelType w:val="hybridMultilevel"/>
    <w:tmpl w:val="8D68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6B68"/>
    <w:multiLevelType w:val="hybridMultilevel"/>
    <w:tmpl w:val="698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10065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2" w16cid:durableId="121172386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 w16cid:durableId="151237638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 w16cid:durableId="152837314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5" w16cid:durableId="2080902635">
    <w:abstractNumId w:val="4"/>
  </w:num>
  <w:num w:numId="6" w16cid:durableId="1348294458">
    <w:abstractNumId w:val="1"/>
  </w:num>
  <w:num w:numId="7" w16cid:durableId="1821538941">
    <w:abstractNumId w:val="13"/>
  </w:num>
  <w:num w:numId="8" w16cid:durableId="927352001">
    <w:abstractNumId w:val="10"/>
  </w:num>
  <w:num w:numId="9" w16cid:durableId="26102362">
    <w:abstractNumId w:val="2"/>
  </w:num>
  <w:num w:numId="10" w16cid:durableId="2084597276">
    <w:abstractNumId w:val="18"/>
  </w:num>
  <w:num w:numId="11" w16cid:durableId="1009867579">
    <w:abstractNumId w:val="7"/>
  </w:num>
  <w:num w:numId="12" w16cid:durableId="1788890370">
    <w:abstractNumId w:val="19"/>
  </w:num>
  <w:num w:numId="13" w16cid:durableId="719129466">
    <w:abstractNumId w:val="16"/>
  </w:num>
  <w:num w:numId="14" w16cid:durableId="849032029">
    <w:abstractNumId w:val="6"/>
  </w:num>
  <w:num w:numId="15" w16cid:durableId="287904660">
    <w:abstractNumId w:val="12"/>
  </w:num>
  <w:num w:numId="16" w16cid:durableId="1542980293">
    <w:abstractNumId w:val="14"/>
  </w:num>
  <w:num w:numId="17" w16cid:durableId="227113357">
    <w:abstractNumId w:val="17"/>
  </w:num>
  <w:num w:numId="18" w16cid:durableId="999044638">
    <w:abstractNumId w:val="11"/>
  </w:num>
  <w:num w:numId="19" w16cid:durableId="1537965362">
    <w:abstractNumId w:val="8"/>
  </w:num>
  <w:num w:numId="20" w16cid:durableId="473716947">
    <w:abstractNumId w:val="9"/>
  </w:num>
  <w:num w:numId="21" w16cid:durableId="606544404">
    <w:abstractNumId w:val="3"/>
  </w:num>
  <w:num w:numId="22" w16cid:durableId="90668956">
    <w:abstractNumId w:val="15"/>
  </w:num>
  <w:num w:numId="23" w16cid:durableId="265698138">
    <w:abstractNumId w:val="5"/>
  </w:num>
  <w:num w:numId="24" w16cid:durableId="18702164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BF"/>
    <w:rsid w:val="001836E0"/>
    <w:rsid w:val="001B408D"/>
    <w:rsid w:val="001C3FBF"/>
    <w:rsid w:val="004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11EC305"/>
  <w14:defaultImageDpi w14:val="0"/>
  <w15:docId w15:val="{7171647D-2D7A-1D44-A7A5-519F4CE1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FBF"/>
    <w:pPr>
      <w:widowControl w:val="0"/>
      <w:autoSpaceDE w:val="0"/>
      <w:autoSpaceDN w:val="0"/>
      <w:adjustRightInd w:val="0"/>
      <w:spacing w:before="120" w:after="120"/>
      <w:outlineLvl w:val="0"/>
    </w:pPr>
    <w:rPr>
      <w:rFonts w:ascii="Arial" w:hAnsi="Times New Roman" w:cs="Times New Roman"/>
      <w:color w:val="000000" w:themeColor="text1"/>
      <w:kern w:val="24"/>
      <w:sz w:val="40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36E0"/>
    <w:pPr>
      <w:widowControl w:val="0"/>
      <w:autoSpaceDE w:val="0"/>
      <w:autoSpaceDN w:val="0"/>
      <w:adjustRightInd w:val="0"/>
      <w:spacing w:before="120" w:after="120"/>
      <w:outlineLvl w:val="1"/>
    </w:pPr>
    <w:rPr>
      <w:rFonts w:ascii="Arial" w:hAnsi="Times New Roman" w:cs="Times New Roman"/>
      <w:color w:val="36424A"/>
      <w:kern w:val="24"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800" w:hanging="360"/>
      <w:outlineLvl w:val="2"/>
    </w:pPr>
    <w:rPr>
      <w:rFonts w:ascii="Arial" w:hAnsi="Times New Roman" w:cs="Times New Roman"/>
      <w:color w:val="36424A"/>
      <w:kern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2520" w:hanging="360"/>
      <w:outlineLvl w:val="3"/>
    </w:pPr>
    <w:rPr>
      <w:rFonts w:ascii="Arial" w:hAnsi="Times New Roman" w:cs="Times New Roman"/>
      <w:color w:val="36424A"/>
      <w:kern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3240" w:hanging="360"/>
      <w:outlineLvl w:val="4"/>
    </w:pPr>
    <w:rPr>
      <w:rFonts w:ascii="Arial" w:hAnsi="Times New Roman" w:cs="Times New Roman"/>
      <w:color w:val="36424A"/>
      <w:kern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FBF"/>
    <w:rPr>
      <w:rFonts w:ascii="Arial" w:hAnsi="Times New Roman" w:cs="Times New Roman"/>
      <w:color w:val="000000" w:themeColor="text1"/>
      <w:kern w:val="24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9"/>
    <w:rsid w:val="001836E0"/>
    <w:rPr>
      <w:rFonts w:ascii="Arial" w:hAnsi="Times New Roman" w:cs="Times New Roman"/>
      <w:color w:val="36424A"/>
      <w:kern w:val="24"/>
      <w:sz w:val="36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3FBF"/>
    <w:pPr>
      <w:spacing w:before="240" w:after="60"/>
      <w:outlineLvl w:val="0"/>
    </w:pPr>
    <w:rPr>
      <w:rFonts w:ascii="Arial" w:eastAsiaTheme="majorEastAsia" w:hAnsi="Arial" w:cstheme="majorBidi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3FBF"/>
    <w:rPr>
      <w:rFonts w:ascii="Arial" w:eastAsiaTheme="majorEastAsia" w:hAnsi="Arial" w:cstheme="majorBidi"/>
      <w:b/>
      <w:bCs/>
      <w:kern w:val="28"/>
      <w:sz w:val="44"/>
      <w:szCs w:val="32"/>
    </w:rPr>
  </w:style>
  <w:style w:type="character" w:styleId="Hyperlink">
    <w:name w:val="Hyperlink"/>
    <w:basedOn w:val="DefaultParagraphFont"/>
    <w:uiPriority w:val="99"/>
    <w:unhideWhenUsed/>
    <w:rsid w:val="00183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etitia.mfamobani@nne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ry.anderson@gov.ab.ca" TargetMode="External"/><Relationship Id="rId5" Type="http://schemas.openxmlformats.org/officeDocument/2006/relationships/hyperlink" Target="mailto:kimberly.johnson@gov.a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Megan Sellmer</cp:lastModifiedBy>
  <cp:revision>2</cp:revision>
  <dcterms:created xsi:type="dcterms:W3CDTF">2023-10-18T17:58:00Z</dcterms:created>
  <dcterms:modified xsi:type="dcterms:W3CDTF">2023-10-18T17:58:00Z</dcterms:modified>
</cp:coreProperties>
</file>